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D7" w:rsidRDefault="002C72D7" w:rsidP="002C72D7">
      <w:pPr>
        <w:spacing w:after="0"/>
        <w:ind w:left="3969" w:right="-143"/>
        <w:rPr>
          <w:rFonts w:ascii="Times New Roman" w:hAnsi="Times New Roman"/>
          <w:b/>
          <w:sz w:val="28"/>
          <w:szCs w:val="28"/>
        </w:rPr>
      </w:pPr>
      <w:r>
        <w:rPr>
          <w:rFonts w:ascii="Times New Roman" w:hAnsi="Times New Roman"/>
          <w:b/>
          <w:sz w:val="28"/>
          <w:szCs w:val="28"/>
        </w:rPr>
        <w:t>ОДОБРЕНА</w:t>
      </w:r>
    </w:p>
    <w:p w:rsidR="002C72D7" w:rsidRDefault="002C72D7" w:rsidP="002C72D7">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2C72D7" w:rsidRDefault="002C72D7" w:rsidP="002C72D7">
      <w:pPr>
        <w:pStyle w:val="a3"/>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8C17A0" w:rsidRPr="008C17A0" w:rsidRDefault="008C17A0" w:rsidP="008C17A0"/>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sidRPr="0074716C">
        <w:rPr>
          <w:rFonts w:ascii="Times New Roman" w:hAnsi="Times New Roman"/>
          <w:sz w:val="28"/>
          <w:szCs w:val="28"/>
        </w:rPr>
        <w:t xml:space="preserve">Примерная </w:t>
      </w:r>
      <w:r>
        <w:rPr>
          <w:rFonts w:ascii="Times New Roman" w:hAnsi="Times New Roman"/>
          <w:sz w:val="28"/>
          <w:szCs w:val="28"/>
        </w:rPr>
        <w:br/>
      </w:r>
      <w:r w:rsidRPr="0074716C">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w:t>
            </w:r>
            <w:r w:rsidRPr="0052274E">
              <w:rPr>
                <w:rFonts w:ascii="Times New Roman" w:hAnsi="Times New Roman"/>
                <w:b/>
                <w:sz w:val="28"/>
                <w:szCs w:val="28"/>
              </w:rPr>
              <w:lastRenderedPageBreak/>
              <w:t xml:space="preserve">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r w:rsidRPr="0052274E">
              <w:rPr>
                <w:kern w:val="3"/>
                <w:sz w:val="20"/>
                <w:szCs w:val="20"/>
              </w:rPr>
              <w:t xml:space="preserve"> </w:t>
            </w:r>
            <w:r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lastRenderedPageBreak/>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2"/>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3"/>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ПРИМЕРНАЯ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w:t>
      </w:r>
      <w:r w:rsidRPr="00EA2B30">
        <w:rPr>
          <w:rFonts w:ascii="Times New Roman" w:hAnsi="Times New Roman"/>
          <w:sz w:val="28"/>
          <w:szCs w:val="28"/>
        </w:rPr>
        <w:lastRenderedPageBreak/>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 xml:space="preserve">Слабовидящим характерны затруднения: в овладении пространственными представлениями, в процессе микро- и </w:t>
      </w:r>
      <w:r w:rsidRPr="00EA2B30">
        <w:rPr>
          <w:rFonts w:ascii="Times New Roman" w:hAnsi="Times New Roman"/>
          <w:sz w:val="28"/>
          <w:szCs w:val="28"/>
          <w:shd w:val="clear" w:color="auto" w:fill="FFFFFF"/>
        </w:rPr>
        <w:lastRenderedPageBreak/>
        <w:t>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w:t>
      </w:r>
      <w:r w:rsidRPr="00EA2B30">
        <w:rPr>
          <w:rFonts w:ascii="Times New Roman" w:hAnsi="Times New Roman"/>
          <w:sz w:val="28"/>
          <w:szCs w:val="28"/>
        </w:rPr>
        <w:lastRenderedPageBreak/>
        <w:t>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lastRenderedPageBreak/>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lastRenderedPageBreak/>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F15C76">
        <w:rPr>
          <w:rFonts w:ascii="Times New Roman" w:hAnsi="Times New Roman"/>
          <w:sz w:val="28"/>
          <w:szCs w:val="28"/>
        </w:rPr>
        <w:lastRenderedPageBreak/>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rsidRPr="00F15C76">
        <w:rPr>
          <w:rFonts w:ascii="Times New Roman" w:hAnsi="Times New Roman"/>
          <w:sz w:val="28"/>
          <w:szCs w:val="28"/>
        </w:rPr>
        <w:lastRenderedPageBreak/>
        <w:t xml:space="preserve">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F15C76">
        <w:rPr>
          <w:rFonts w:ascii="Times New Roman" w:hAnsi="Times New Roman"/>
          <w:sz w:val="28"/>
          <w:szCs w:val="28"/>
        </w:rPr>
        <w:lastRenderedPageBreak/>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lastRenderedPageBreak/>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lastRenderedPageBreak/>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выявления и развития способностей обучающихся через систему </w:t>
      </w:r>
      <w:r w:rsidRPr="00724F1A">
        <w:rPr>
          <w:rFonts w:cs="Times New Roman"/>
          <w:sz w:val="28"/>
          <w:szCs w:val="28"/>
        </w:rPr>
        <w:lastRenderedPageBreak/>
        <w:t>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lastRenderedPageBreak/>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lastRenderedPageBreak/>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lastRenderedPageBreak/>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 xml:space="preserve">ассистента </w:t>
      </w:r>
      <w:r w:rsidRPr="00D0555E">
        <w:rPr>
          <w:rFonts w:cs="Times New Roman"/>
          <w:i/>
          <w:sz w:val="28"/>
        </w:rPr>
        <w:lastRenderedPageBreak/>
        <w:t>(помощника)</w:t>
      </w:r>
      <w:r w:rsidRPr="00D0555E">
        <w:rPr>
          <w:rStyle w:val="a5"/>
          <w:sz w:val="28"/>
        </w:rPr>
        <w:t xml:space="preserve"> </w:t>
      </w:r>
      <w:r w:rsidRPr="00D0555E">
        <w:rPr>
          <w:rStyle w:val="a5"/>
          <w:sz w:val="28"/>
        </w:rPr>
        <w:footnoteReference w:id="4"/>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в объеме определяемых органами государственной власти субъектов Российской Федерации нормативов обеспечения государственных гарантий </w:t>
      </w:r>
      <w:r w:rsidRPr="00D47EBF">
        <w:rPr>
          <w:rFonts w:ascii="Times New Roman" w:hAnsi="Times New Roman"/>
          <w:sz w:val="28"/>
          <w:szCs w:val="28"/>
          <w:lang w:eastAsia="en-US"/>
        </w:rPr>
        <w:lastRenderedPageBreak/>
        <w:t>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w:t>
      </w:r>
      <w:r w:rsidRPr="00BE04B3">
        <w:rPr>
          <w:rFonts w:ascii="Times New Roman" w:hAnsi="Times New Roman"/>
          <w:sz w:val="28"/>
          <w:szCs w:val="28"/>
          <w:lang w:eastAsia="en-US"/>
        </w:rPr>
        <w:lastRenderedPageBreak/>
        <w:t>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E04B3">
        <w:rPr>
          <w:rFonts w:ascii="Times New Roman" w:hAnsi="Times New Roman"/>
          <w:sz w:val="28"/>
          <w:szCs w:val="28"/>
          <w:lang w:eastAsia="en-US"/>
        </w:rPr>
        <w:lastRenderedPageBreak/>
        <w:t>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K2 – коэффициент, учитывающий применение районных коэффициентов и процентных надбавок к заработной плате за стаж работы в </w:t>
      </w:r>
      <w:r w:rsidRPr="00BE04B3">
        <w:rPr>
          <w:rFonts w:ascii="Times New Roman" w:hAnsi="Times New Roman"/>
          <w:sz w:val="28"/>
          <w:szCs w:val="28"/>
          <w:lang w:eastAsia="en-US"/>
        </w:rPr>
        <w:lastRenderedPageBreak/>
        <w:t>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BE04B3">
        <w:rPr>
          <w:rFonts w:ascii="Times New Roman" w:hAnsi="Times New Roman"/>
          <w:sz w:val="28"/>
          <w:szCs w:val="28"/>
          <w:lang w:eastAsia="en-US"/>
        </w:rPr>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 xml:space="preserve">помещениями для осуществления образовательного </w:t>
      </w:r>
      <w:r w:rsidRPr="00D0555E">
        <w:rPr>
          <w:rFonts w:cs="Times New Roman"/>
          <w:sz w:val="28"/>
          <w:szCs w:val="28"/>
        </w:rPr>
        <w:lastRenderedPageBreak/>
        <w:t>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D0555E">
        <w:rPr>
          <w:rFonts w:cs="Times New Roman"/>
          <w:sz w:val="28"/>
          <w:szCs w:val="28"/>
        </w:rPr>
        <w:lastRenderedPageBreak/>
        <w:t>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0555E">
        <w:rPr>
          <w:rFonts w:cs="Times New Roman"/>
          <w:sz w:val="28"/>
          <w:szCs w:val="28"/>
        </w:rPr>
        <w:lastRenderedPageBreak/>
        <w:t>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использования специальных приемов организации  </w:t>
      </w:r>
      <w:r w:rsidRPr="00916399">
        <w:rPr>
          <w:rFonts w:cs="Times New Roman"/>
          <w:sz w:val="28"/>
          <w:szCs w:val="28"/>
        </w:rPr>
        <w:lastRenderedPageBreak/>
        <w:t>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w:t>
      </w:r>
      <w:r w:rsidRPr="00916399">
        <w:rPr>
          <w:rFonts w:cs="Times New Roman"/>
          <w:sz w:val="28"/>
          <w:szCs w:val="28"/>
        </w:rPr>
        <w:lastRenderedPageBreak/>
        <w:t>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w:t>
      </w:r>
      <w:r w:rsidRPr="00916399">
        <w:rPr>
          <w:rFonts w:cs="Times New Roman"/>
          <w:sz w:val="28"/>
          <w:szCs w:val="28"/>
        </w:rPr>
        <w:lastRenderedPageBreak/>
        <w:t xml:space="preserve">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w:t>
      </w:r>
      <w:r w:rsidRPr="00916399">
        <w:rPr>
          <w:rFonts w:cs="Times New Roman"/>
          <w:sz w:val="28"/>
          <w:szCs w:val="28"/>
        </w:rPr>
        <w:lastRenderedPageBreak/>
        <w:t xml:space="preserve">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w:t>
      </w:r>
      <w:r w:rsidRPr="00916399">
        <w:rPr>
          <w:rFonts w:cs="Times New Roman"/>
          <w:sz w:val="28"/>
          <w:szCs w:val="28"/>
        </w:rPr>
        <w:lastRenderedPageBreak/>
        <w:t>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lastRenderedPageBreak/>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w:t>
      </w:r>
      <w:r w:rsidRPr="00916399">
        <w:rPr>
          <w:rFonts w:cs="Times New Roman"/>
          <w:sz w:val="28"/>
          <w:szCs w:val="28"/>
        </w:rPr>
        <w:lastRenderedPageBreak/>
        <w:t>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br w:type="page"/>
      </w:r>
      <w:r w:rsidR="00770453">
        <w:rPr>
          <w:rFonts w:ascii="Times New Roman" w:hAnsi="Times New Roman"/>
          <w:b/>
          <w:sz w:val="28"/>
          <w:szCs w:val="28"/>
        </w:rPr>
        <w:lastRenderedPageBreak/>
        <w:t xml:space="preserve">3. </w:t>
      </w:r>
      <w:r w:rsidR="00770453" w:rsidRPr="00336141">
        <w:rPr>
          <w:rFonts w:ascii="Times New Roman" w:hAnsi="Times New Roman"/>
          <w:b/>
          <w:sz w:val="28"/>
          <w:szCs w:val="28"/>
        </w:rPr>
        <w:t xml:space="preserve">ПРИМЕРНАЯ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w:t>
      </w:r>
      <w:r w:rsidRPr="009220EE">
        <w:rPr>
          <w:rFonts w:ascii="Times New Roman" w:hAnsi="Times New Roman"/>
          <w:sz w:val="28"/>
          <w:szCs w:val="28"/>
        </w:rPr>
        <w:lastRenderedPageBreak/>
        <w:t xml:space="preserve">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w:t>
      </w:r>
      <w:r w:rsidRPr="000C6B9C">
        <w:rPr>
          <w:rFonts w:ascii="Times New Roman" w:hAnsi="Times New Roman"/>
          <w:sz w:val="28"/>
          <w:szCs w:val="28"/>
        </w:rPr>
        <w:lastRenderedPageBreak/>
        <w:t xml:space="preserve">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w:t>
      </w:r>
      <w:r w:rsidRPr="000C6B9C">
        <w:rPr>
          <w:rFonts w:ascii="Times New Roman" w:hAnsi="Times New Roman"/>
          <w:sz w:val="28"/>
          <w:szCs w:val="28"/>
        </w:rPr>
        <w:lastRenderedPageBreak/>
        <w:t xml:space="preserve">(отдельные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0C6B9C">
        <w:rPr>
          <w:rFonts w:ascii="Times New Roman" w:hAnsi="Times New Roman"/>
          <w:sz w:val="28"/>
          <w:szCs w:val="28"/>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r w:rsidRPr="000C6B9C">
        <w:rPr>
          <w:rFonts w:ascii="Times New Roman" w:hAnsi="Times New Roman"/>
          <w:sz w:val="28"/>
          <w:szCs w:val="28"/>
        </w:rPr>
        <w:lastRenderedPageBreak/>
        <w:t>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(сверстниками, 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5"/>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6"/>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7"/>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8"/>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10"/>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t>Лексика</w:t>
      </w:r>
      <w:r w:rsidRPr="009D72A1">
        <w:rPr>
          <w:rStyle w:val="13"/>
          <w:rFonts w:cs="Times New Roman"/>
          <w:b/>
          <w:bCs/>
          <w:color w:val="auto"/>
          <w:spacing w:val="2"/>
          <w:sz w:val="28"/>
          <w:szCs w:val="28"/>
        </w:rPr>
        <w:footnoteReference w:id="11"/>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2"/>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3"/>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4"/>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5"/>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6"/>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7"/>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3"/>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4"/>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5"/>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6"/>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27"/>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bookmarkStart w:id="0" w:name="_GoBack"/>
      <w:bookmarkEnd w:id="0"/>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29"/>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30"/>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A0" w:rsidRDefault="008358A0">
      <w:r>
        <w:separator/>
      </w:r>
    </w:p>
  </w:endnote>
  <w:endnote w:type="continuationSeparator" w:id="1">
    <w:p w:rsidR="008358A0" w:rsidRDefault="00835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C10C04"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C10C04">
    <w:pPr>
      <w:pStyle w:val="ab"/>
      <w:jc w:val="center"/>
    </w:pPr>
    <w:fldSimple w:instr=" PAGE   \* MERGEFORMAT ">
      <w:r w:rsidR="003F5D07">
        <w:rPr>
          <w:noProof/>
        </w:rPr>
        <w:t>1</w:t>
      </w:r>
    </w:fldSimple>
  </w:p>
  <w:p w:rsidR="00DE1771" w:rsidRDefault="00DE1771" w:rsidP="00C93B3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A0" w:rsidRDefault="008358A0">
      <w:r>
        <w:separator/>
      </w:r>
    </w:p>
  </w:footnote>
  <w:footnote w:type="continuationSeparator" w:id="1">
    <w:p w:rsidR="008358A0" w:rsidRDefault="008358A0">
      <w:r>
        <w:continuationSeparator/>
      </w:r>
    </w:p>
  </w:footnote>
  <w:footnote w:id="2">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3">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5">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6">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1">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2">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3">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4">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6">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7">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8">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20">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1">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2">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3">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4">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7">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8">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9">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30">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3F5D07"/>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358A0"/>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0C04"/>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111436</Words>
  <Characters>635189</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k207</cp:lastModifiedBy>
  <cp:revision>2</cp:revision>
  <dcterms:created xsi:type="dcterms:W3CDTF">2016-04-05T09:34:00Z</dcterms:created>
  <dcterms:modified xsi:type="dcterms:W3CDTF">2016-04-05T09:34:00Z</dcterms:modified>
</cp:coreProperties>
</file>